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i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36"/>
          <w:szCs w:val="36"/>
        </w:rPr>
        <w:t xml:space="preserve">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Рассмотрение обращений граждан и юридических лиц в 2023 году.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Сравнительный анализ 2020—2023 </w:t>
      </w:r>
    </w:p>
    <w:p>
      <w:pPr>
        <w:pStyle w:val="Normal"/>
        <w:widowControl w:val="false"/>
        <w:tabs>
          <w:tab w:val="clear" w:pos="708"/>
          <w:tab w:val="left" w:pos="2348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2"/>
          <w:szCs w:val="12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348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Общие   данные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течение 202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3 года в Администрацию района поступило </w:t>
      </w:r>
      <w:r>
        <w:rPr>
          <w:rFonts w:cs="Times New Roman" w:ascii="Times New Roman" w:hAnsi="Times New Roman"/>
          <w:b/>
          <w:sz w:val="26"/>
          <w:szCs w:val="26"/>
        </w:rPr>
        <w:t>1375</w:t>
      </w:r>
      <w:r>
        <w:rPr>
          <w:rFonts w:cs="Times New Roman" w:ascii="Times New Roman" w:hAnsi="Times New Roman"/>
          <w:sz w:val="26"/>
          <w:szCs w:val="26"/>
        </w:rPr>
        <w:t xml:space="preserve"> обращений граждан, объединений граждан и юридических лиц, в которых поставлено </w:t>
      </w:r>
      <w:r>
        <w:rPr>
          <w:rFonts w:cs="Times New Roman" w:ascii="Times New Roman" w:hAnsi="Times New Roman"/>
          <w:b/>
          <w:sz w:val="26"/>
          <w:szCs w:val="26"/>
        </w:rPr>
        <w:t>2019</w:t>
      </w:r>
      <w:r>
        <w:rPr>
          <w:rFonts w:cs="Times New Roman" w:ascii="Times New Roman" w:hAnsi="Times New Roman"/>
          <w:sz w:val="26"/>
          <w:szCs w:val="26"/>
        </w:rPr>
        <w:t xml:space="preserve"> вопросов.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Обращает на себя внимание динамика изменения уровня активности граждан, направляющих в Администрацию района письменные, электронные и устные обращения. В представленной ниже диаграмме показано количество поступивших обращений за последние 4 года.  </w:t>
      </w: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Обращения 2020 — 2023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/>
          <w:i/>
          <w:i/>
          <w:iCs/>
          <w:sz w:val="26"/>
          <w:szCs w:val="26"/>
        </w:rPr>
      </w:pPr>
      <w:r>
        <w:rPr/>
        <w:drawing>
          <wp:inline distT="0" distB="0" distL="0" distR="0">
            <wp:extent cx="6061075" cy="30670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>
        <w:rPr>
          <w:rFonts w:cs="Times New Roman" w:ascii="Times New Roman" w:hAnsi="Times New Roman"/>
          <w:i w:val="false"/>
          <w:iCs w:val="false"/>
          <w:sz w:val="12"/>
          <w:szCs w:val="12"/>
        </w:rPr>
        <w:t xml:space="preserve">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12"/>
          <w:szCs w:val="12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Показательно резкое уменьшение количества обращений, поступивших в 2022 году. К числу причин такого уменьшения необходимо отнести успешное решение вопросов, ранее озвученных в обращениях. В частности, в течение 2021 года                      в Металлургическом районе реализованы задачи по благоустройству 25 дворовых территорий путем внесения инициативных проектов, проведены капитальные ремонты тепловых сетей, позволившие улучшить ситуацию с неудовлетворительным теплоснабжением многоквартирных домов, проводилась большая работа                          по озеленению.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С учетом решения наиболее значимых вопросов 2022 стал годом наименьшей активности населения за последние четыре года.  </w:t>
      </w:r>
    </w:p>
    <w:p>
      <w:pPr>
        <w:sectPr>
          <w:type w:val="nextPage"/>
          <w:pgSz w:w="11906" w:h="16838"/>
          <w:pgMar w:left="1746" w:right="578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В 2023 году в письмах жителей вновь проявляется интерес к теме инициативного бюджетирования, озвучиваются и другие возникающие проблемы,                в большинстве связанные с жилищно-коммунальным хозяйством и благоустройством территории. Общее количество поступивших в 2023 году обращений практически вернулось к уровню 2020 года. Вместе с тем значительно уменьшилось количество граждан, обратившихся к руководителям Администрации района на личном приеме.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Безусловно, на этот показатель влияет использование современных доступных способов подачи обращений: интернет-приемная, Платформа обратной связи на портале Госуслуг (ПОС), ресурс ГИС ЖКХ, электронная почта. В представленном графике видно, как постепенно увеличивается доля обращений, поступивших в электронном виде, составившая в 2023 году более 2/3 от общего числа обращений (для сравнения: в 2020 году в электронном виде обратилось менее половины заявителей).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Кроме того, жители района все чаще используют для направления оперативных сообщений, не требующих официального письменного ответа, аккаунты Администрации района в социальных сетях. Так, если в 2020 году таких сообщений были единицы, в 2021 году — 50, то уже в 2022 году через социальные сети поступило свыше 600 сообщений, а в 2023 более 700 жителей района воспользовались данной формой обратной связи (такие сообщения и меры реагирования на них не входят в официальную статистику работы с обращениями).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>Качество и своевременность рассмотрения обращений граждан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число основных показателей, влияющих на оценку эффективности, входит: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повторных обращений;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обращений, рассмотренных с участием авторов (в том числе               в ходе личного приема);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обращений, рассмотренных с выходом на место;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своевременно рассмотренных обращений.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 представлены данные об изменении этих показателей за период с 2020  по 2023 годы.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890"/>
        <w:gridCol w:w="2219"/>
        <w:gridCol w:w="2054"/>
        <w:gridCol w:w="2203"/>
        <w:gridCol w:w="2215"/>
      </w:tblGrid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Период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Доля повторных обращений (%)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Доля рассмотренных          с участием автора (%)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Доля рассмотренных</w:t>
            </w:r>
          </w:p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 выходом на место (%)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Рассмотрено              с нарушением срока (ед.)</w:t>
            </w:r>
          </w:p>
        </w:tc>
      </w:tr>
      <w:tr>
        <w:trPr/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1,2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2,1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14,6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2021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1,5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3,2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17,1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2022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1,8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4,2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17,8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2023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0,4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6,3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16,9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к 2023 году значительно уменьшилось количество повторных обращений, более чаще обращения рассматриваются с выходом на место                        и с привлечением заявителей к рассмотрению поставленных ими вопросов, случаи нарушения срока рассмотрения в последние два года не допускались.  </w:t>
      </w:r>
    </w:p>
    <w:p>
      <w:pPr>
        <w:pStyle w:val="Normal"/>
        <w:widowControl w:val="false"/>
        <w:tabs>
          <w:tab w:val="clear" w:pos="708"/>
          <w:tab w:val="left" w:pos="709" w:leader="none"/>
          <w:tab w:val="center" w:pos="4790" w:leader="none"/>
        </w:tabs>
        <w:suppressAutoHyphens w:val="true"/>
        <w:bidi w:val="0"/>
        <w:spacing w:lineRule="auto" w:line="240" w:before="0" w:after="0"/>
        <w:ind w:left="0" w:right="0"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sectPr>
      <w:headerReference w:type="default" r:id="rId3"/>
      <w:type w:val="nextPage"/>
      <w:pgSz w:w="11906" w:h="16838"/>
      <w:pgMar w:left="1701" w:right="624" w:header="851" w:top="1403" w:footer="0" w:bottom="7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2168b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2168b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a25975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f1aaf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4216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4216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a259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4e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4169e1"/>
            </a:solidFill>
            <a:ln w="28800">
              <a:solidFill>
                <a:srgbClr val="4169e1"/>
              </a:solidFill>
              <a:round/>
            </a:ln>
          </c:spPr>
          <c:marker>
            <c:symbol val="square"/>
            <c:size val="8"/>
            <c:spPr>
              <a:solidFill>
                <a:srgbClr val="4169e1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1463</c:v>
                </c:pt>
                <c:pt idx="1">
                  <c:v>1535</c:v>
                </c:pt>
                <c:pt idx="2">
                  <c:v>1122</c:v>
                </c:pt>
                <c:pt idx="3">
                  <c:v>1375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В письменном виде         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366</c:v>
                </c:pt>
                <c:pt idx="1">
                  <c:v>345</c:v>
                </c:pt>
                <c:pt idx="2">
                  <c:v>214</c:v>
                </c:pt>
                <c:pt idx="3">
                  <c:v>241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В виде электронного документа     </c:v>
                </c:pt>
              </c:strCache>
            </c:strRef>
          </c:tx>
          <c:spPr>
            <a:solidFill>
              <a:srgbClr val="ffde59"/>
            </a:solidFill>
            <a:ln w="28800">
              <a:solidFill>
                <a:srgbClr val="ffde59"/>
              </a:solidFill>
              <a:round/>
            </a:ln>
          </c:spPr>
          <c:marker>
            <c:symbol val="triangle"/>
            <c:size val="8"/>
            <c:spPr>
              <a:solidFill>
                <a:srgbClr val="ffde59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672</c:v>
                </c:pt>
                <c:pt idx="1">
                  <c:v>1001</c:v>
                </c:pt>
                <c:pt idx="2">
                  <c:v>785</c:v>
                </c:pt>
                <c:pt idx="3">
                  <c:v>1011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Устных 
 </c:v>
                </c:pt>
              </c:strCache>
            </c:strRef>
          </c:tx>
          <c:spPr>
            <a:solidFill>
              <a:srgbClr val="000000"/>
            </a:solidFill>
            <a:ln w="28800">
              <a:solidFill>
                <a:srgbClr val="000000"/>
              </a:solidFill>
              <a:round/>
            </a:ln>
          </c:spPr>
          <c:marker>
            <c:symbol val="triangle"/>
            <c:size val="8"/>
            <c:spPr>
              <a:solidFill>
                <a:srgbClr val="000000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4"/>
                <c:pt idx="0">
                  <c:v>425</c:v>
                </c:pt>
                <c:pt idx="1">
                  <c:v>189</c:v>
                </c:pt>
                <c:pt idx="2">
                  <c:v>123</c:v>
                </c:pt>
                <c:pt idx="3">
                  <c:v>123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21155062"/>
        <c:axId val="72706648"/>
      </c:lineChart>
      <c:catAx>
        <c:axId val="21155062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2706648"/>
        <c:crosses val="autoZero"/>
        <c:auto val="1"/>
        <c:lblAlgn val="ctr"/>
        <c:lblOffset val="100"/>
        <c:noMultiLvlLbl val="0"/>
      </c:catAx>
      <c:valAx>
        <c:axId val="7270664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21155062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FD9F-A609-4D07-AEAE-39D6EB6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Application>LibreOffice/6.4.7.2$Linux_X86_64 LibreOffice_project/40$Build-2</Application>
  <Pages>2</Pages>
  <Words>475</Words>
  <Characters>3078</Characters>
  <CharactersWithSpaces>4454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2018-10-09T07:16:00Z</dcterms:created>
  <dc:creator>29-2 User</dc:creator>
  <dc:description/>
  <dc:language>ru-RU</dc:language>
  <cp:lastModifiedBy/>
  <cp:lastPrinted>2024-03-22T14:38:26Z</cp:lastPrinted>
  <dcterms:modified xsi:type="dcterms:W3CDTF">2024-04-01T09:30:14Z</dcterms:modified>
  <cp:revision>233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